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919D" w14:textId="555E47A0" w:rsidR="00F81BB5" w:rsidRDefault="00C61289">
      <w:pPr>
        <w:ind w:left="-5"/>
      </w:pPr>
      <w:r>
        <w:t xml:space="preserve">This Phantom Equity Agreement (“Agreement”) is made and entered into as of </w:t>
      </w:r>
      <w:r w:rsidRPr="00EA6CA4">
        <w:rPr>
          <w:highlight w:val="yellow"/>
        </w:rPr>
        <w:t>[DATE</w:t>
      </w:r>
      <w:r>
        <w:t>]</w:t>
      </w:r>
      <w:r w:rsidR="00F4533F">
        <w:t xml:space="preserve"> (the Effective Date”)</w:t>
      </w:r>
      <w:r>
        <w:t xml:space="preserve">, by and between </w:t>
      </w:r>
      <w:r w:rsidR="000E4D4D">
        <w:t>[</w:t>
      </w:r>
      <w:r w:rsidR="000E4D4D" w:rsidRPr="00EA6CA4">
        <w:rPr>
          <w:highlight w:val="yellow"/>
        </w:rPr>
        <w:t xml:space="preserve">insert </w:t>
      </w:r>
      <w:r w:rsidR="0072066B" w:rsidRPr="00EA6CA4">
        <w:rPr>
          <w:highlight w:val="yellow"/>
        </w:rPr>
        <w:t>name of company]</w:t>
      </w:r>
      <w:r w:rsidR="0072066B">
        <w:t xml:space="preserve"> </w:t>
      </w:r>
      <w:r>
        <w:t xml:space="preserve">(the “Company”), located at </w:t>
      </w:r>
      <w:r w:rsidR="0065593E">
        <w:t>[</w:t>
      </w:r>
      <w:r w:rsidR="0065593E" w:rsidRPr="00EA6CA4">
        <w:rPr>
          <w:highlight w:val="yellow"/>
        </w:rPr>
        <w:t>insert company’s address</w:t>
      </w:r>
      <w:r w:rsidR="0065593E">
        <w:t>]</w:t>
      </w:r>
      <w:r w:rsidRPr="00864DC7">
        <w:t xml:space="preserve">, </w:t>
      </w:r>
      <w:r w:rsidRPr="00EA6CA4">
        <w:t xml:space="preserve">and </w:t>
      </w:r>
      <w:r w:rsidR="0065593E">
        <w:t>[</w:t>
      </w:r>
      <w:r w:rsidR="0065593E" w:rsidRPr="00EA6CA4">
        <w:rPr>
          <w:highlight w:val="yellow"/>
        </w:rPr>
        <w:t xml:space="preserve">insert </w:t>
      </w:r>
      <w:r w:rsidR="00203E2D" w:rsidRPr="00EA6CA4">
        <w:rPr>
          <w:highlight w:val="yellow"/>
        </w:rPr>
        <w:t>name(s) of recipient(s)</w:t>
      </w:r>
      <w:r w:rsidR="00BD26B8" w:rsidRPr="00EA6CA4">
        <w:rPr>
          <w:highlight w:val="yellow"/>
        </w:rPr>
        <w:t>]</w:t>
      </w:r>
      <w:r w:rsidR="00BD26B8">
        <w:t xml:space="preserve"> </w:t>
      </w:r>
      <w:r w:rsidRPr="00EA6CA4">
        <w:t>(each referred to as “Recipient” and collectively as “Recipients”)</w:t>
      </w:r>
      <w:r w:rsidRPr="00864DC7">
        <w:t>.</w:t>
      </w:r>
    </w:p>
    <w:p w14:paraId="6CAA3CC7" w14:textId="0ACDCA77" w:rsidR="00F81BB5" w:rsidRDefault="00C61289">
      <w:pPr>
        <w:numPr>
          <w:ilvl w:val="0"/>
          <w:numId w:val="1"/>
        </w:numPr>
        <w:ind w:hanging="244"/>
      </w:pPr>
      <w:r>
        <w:t>Grant of Phantom Equity</w:t>
      </w:r>
    </w:p>
    <w:p w14:paraId="59EA8B2A" w14:textId="22AB98C2" w:rsidR="00F81BB5" w:rsidRDefault="00C61289">
      <w:pPr>
        <w:numPr>
          <w:ilvl w:val="1"/>
          <w:numId w:val="1"/>
        </w:numPr>
        <w:ind w:hanging="367"/>
      </w:pPr>
      <w:r>
        <w:t xml:space="preserve">The Company grants each Recipient the right to receive </w:t>
      </w:r>
      <w:r w:rsidR="00EA6CA4">
        <w:t>[</w:t>
      </w:r>
      <w:r w:rsidR="00EA6CA4" w:rsidRPr="00EA6CA4">
        <w:rPr>
          <w:highlight w:val="yellow"/>
        </w:rPr>
        <w:t xml:space="preserve">e.g., </w:t>
      </w:r>
      <w:r w:rsidRPr="00EA6CA4">
        <w:rPr>
          <w:highlight w:val="yellow"/>
        </w:rPr>
        <w:t>5%</w:t>
      </w:r>
      <w:r w:rsidR="00EA6CA4" w:rsidRPr="00EA6CA4">
        <w:rPr>
          <w:highlight w:val="yellow"/>
        </w:rPr>
        <w:t>]</w:t>
      </w:r>
      <w:r>
        <w:t xml:space="preserve"> phantom equity interest in the Company, subject to the terms and conditions of this Agreement.</w:t>
      </w:r>
    </w:p>
    <w:p w14:paraId="385D5EC5" w14:textId="13DCE77D" w:rsidR="005A3B32" w:rsidRDefault="00C61289" w:rsidP="00AB5B1D">
      <w:pPr>
        <w:numPr>
          <w:ilvl w:val="1"/>
          <w:numId w:val="1"/>
        </w:numPr>
        <w:ind w:hanging="367"/>
      </w:pPr>
      <w:r>
        <w:t>Phantom equity does not confer actual ownership, voting rights, or direct equity</w:t>
      </w:r>
    </w:p>
    <w:p w14:paraId="3EDBE9AB" w14:textId="1CA958FD" w:rsidR="00F81BB5" w:rsidRDefault="00C61289">
      <w:pPr>
        <w:numPr>
          <w:ilvl w:val="0"/>
          <w:numId w:val="1"/>
        </w:numPr>
        <w:ind w:hanging="244"/>
      </w:pPr>
      <w:r>
        <w:t>Vesting Schedule</w:t>
      </w:r>
    </w:p>
    <w:p w14:paraId="15A021A9" w14:textId="1E05A355" w:rsidR="00F81BB5" w:rsidRPr="00E4761D" w:rsidRDefault="00C61289">
      <w:pPr>
        <w:numPr>
          <w:ilvl w:val="1"/>
          <w:numId w:val="1"/>
        </w:numPr>
        <w:ind w:hanging="367"/>
      </w:pPr>
      <w:r>
        <w:t xml:space="preserve">Phantom equity vests over a </w:t>
      </w:r>
      <w:r w:rsidR="00EA6CA4" w:rsidRPr="00EA6CA4">
        <w:rPr>
          <w:highlight w:val="yellow"/>
        </w:rPr>
        <w:t xml:space="preserve">[e.g., </w:t>
      </w:r>
      <w:r w:rsidRPr="00EA6CA4">
        <w:rPr>
          <w:highlight w:val="yellow"/>
        </w:rPr>
        <w:t>four-year</w:t>
      </w:r>
      <w:r w:rsidR="00EA6CA4">
        <w:t>]</w:t>
      </w:r>
      <w:r>
        <w:t xml:space="preserve"> period</w:t>
      </w:r>
      <w:r w:rsidR="00676D9D">
        <w:t xml:space="preserve"> in </w:t>
      </w:r>
      <w:r w:rsidR="00E4761D">
        <w:t>accordance with the following schedule:</w:t>
      </w:r>
      <w:r w:rsidRPr="00E4761D">
        <w:t xml:space="preserve"> </w:t>
      </w:r>
    </w:p>
    <w:p w14:paraId="3B381062" w14:textId="413C108D" w:rsidR="00F81BB5" w:rsidRPr="008F0EE6" w:rsidRDefault="00C61289">
      <w:pPr>
        <w:numPr>
          <w:ilvl w:val="1"/>
          <w:numId w:val="1"/>
        </w:numPr>
        <w:ind w:hanging="367"/>
      </w:pPr>
      <w:r>
        <w:t xml:space="preserve">One-Year Cliff: </w:t>
      </w:r>
      <w:r w:rsidRPr="008F0EE6">
        <w:t xml:space="preserve">The first </w:t>
      </w:r>
      <w:r w:rsidR="00D170F0">
        <w:t>[</w:t>
      </w:r>
      <w:r w:rsidR="00D170F0" w:rsidRPr="00EA6CA4">
        <w:rPr>
          <w:highlight w:val="yellow"/>
        </w:rPr>
        <w:t xml:space="preserve">e.g., </w:t>
      </w:r>
      <w:r w:rsidRPr="00EA6CA4">
        <w:rPr>
          <w:highlight w:val="yellow"/>
        </w:rPr>
        <w:t>25%</w:t>
      </w:r>
      <w:r w:rsidR="00D170F0" w:rsidRPr="00EA6CA4">
        <w:rPr>
          <w:highlight w:val="yellow"/>
        </w:rPr>
        <w:t>]</w:t>
      </w:r>
      <w:r w:rsidRPr="008F0EE6">
        <w:t xml:space="preserve"> vests </w:t>
      </w:r>
      <w:r w:rsidR="00F4533F" w:rsidRPr="008F0EE6">
        <w:t xml:space="preserve">on the first anniversary </w:t>
      </w:r>
      <w:r w:rsidR="008F0EE6" w:rsidRPr="008F0EE6">
        <w:t>from the Effective Date</w:t>
      </w:r>
      <w:r w:rsidRPr="008F0EE6">
        <w:t xml:space="preserve">. </w:t>
      </w:r>
    </w:p>
    <w:p w14:paraId="03FCD0C5" w14:textId="2AB9B3A3" w:rsidR="00EA3CE9" w:rsidRDefault="00C61289" w:rsidP="00EA3CE9">
      <w:pPr>
        <w:numPr>
          <w:ilvl w:val="1"/>
          <w:numId w:val="1"/>
        </w:numPr>
        <w:ind w:hanging="367"/>
      </w:pPr>
      <w:r w:rsidRPr="00F527CB">
        <w:t xml:space="preserve">The remaining </w:t>
      </w:r>
      <w:r w:rsidR="00D170F0" w:rsidRPr="00EA6CA4">
        <w:rPr>
          <w:highlight w:val="yellow"/>
        </w:rPr>
        <w:t xml:space="preserve">[e.g., </w:t>
      </w:r>
      <w:r w:rsidRPr="00EA6CA4">
        <w:rPr>
          <w:highlight w:val="yellow"/>
        </w:rPr>
        <w:t>75%</w:t>
      </w:r>
      <w:r w:rsidR="00D170F0">
        <w:t>]</w:t>
      </w:r>
      <w:r w:rsidRPr="00F527CB">
        <w:t xml:space="preserve"> vests </w:t>
      </w:r>
      <w:r w:rsidR="008F0EE6" w:rsidRPr="00F527CB">
        <w:t xml:space="preserve">in </w:t>
      </w:r>
      <w:r w:rsidR="00F527CB" w:rsidRPr="00F527CB">
        <w:t xml:space="preserve">equal </w:t>
      </w:r>
      <w:r w:rsidRPr="00F527CB">
        <w:t xml:space="preserve">monthly </w:t>
      </w:r>
      <w:r w:rsidR="00F527CB" w:rsidRPr="00F527CB">
        <w:t xml:space="preserve">installments </w:t>
      </w:r>
      <w:r w:rsidRPr="00EA6CA4">
        <w:t>over the following three years</w:t>
      </w:r>
      <w:r w:rsidR="00976FCC">
        <w:t xml:space="preserve">, </w:t>
      </w:r>
      <w:r w:rsidR="00976FCC" w:rsidRPr="00976FCC">
        <w:t xml:space="preserve">such that 100% of the phantom equity </w:t>
      </w:r>
      <w:r w:rsidR="00B50CDA">
        <w:t xml:space="preserve">interests </w:t>
      </w:r>
      <w:r w:rsidR="00976FCC" w:rsidRPr="00976FCC">
        <w:t xml:space="preserve">are vested as of the fourth anniversary </w:t>
      </w:r>
      <w:r w:rsidR="00B50CDA">
        <w:t>from the Effective Date</w:t>
      </w:r>
      <w:r w:rsidRPr="00F527CB">
        <w:t>.</w:t>
      </w:r>
    </w:p>
    <w:p w14:paraId="4C41FC11" w14:textId="77777777" w:rsidR="007F5065" w:rsidRDefault="00C61289" w:rsidP="00EA6CA4">
      <w:pPr>
        <w:ind w:left="1087" w:firstLine="0"/>
      </w:pPr>
      <w:r>
        <w:t xml:space="preserve">If a Recipient </w:t>
      </w:r>
      <w:r>
        <w:t>resigns or is terminated before full vesting,</w:t>
      </w:r>
      <w:r>
        <w:t xml:space="preserve"> all unvested phantom equity is forfeited. </w:t>
      </w:r>
    </w:p>
    <w:p w14:paraId="1C48F65B" w14:textId="56350D09" w:rsidR="00AB5B1D" w:rsidRDefault="0028543D" w:rsidP="00B12389">
      <w:pPr>
        <w:numPr>
          <w:ilvl w:val="1"/>
          <w:numId w:val="1"/>
        </w:numPr>
        <w:ind w:hanging="367"/>
      </w:pPr>
      <w:r w:rsidRPr="007F6970">
        <w:t>Notwithstanding</w:t>
      </w:r>
      <w:r w:rsidRPr="0028543D">
        <w:t xml:space="preserve"> the foregoing, vesting </w:t>
      </w:r>
      <w:r w:rsidR="00951536">
        <w:t xml:space="preserve">shall </w:t>
      </w:r>
      <w:r w:rsidRPr="0028543D">
        <w:t>be accelerated upon the occurrence of a</w:t>
      </w:r>
      <w:r w:rsidR="00B03CD4">
        <w:t xml:space="preserve"> </w:t>
      </w:r>
      <w:r w:rsidR="009975B9">
        <w:t>liquidity</w:t>
      </w:r>
      <w:r w:rsidR="007F6970">
        <w:t xml:space="preserve"> event listed in section </w:t>
      </w:r>
      <w:r w:rsidR="00951536">
        <w:t>4.1 below</w:t>
      </w:r>
      <w:r w:rsidRPr="0028543D">
        <w:t>.</w:t>
      </w:r>
    </w:p>
    <w:p w14:paraId="73CEF4A5" w14:textId="7D37EBC1" w:rsidR="00AB5B1D" w:rsidRDefault="00AB5B1D" w:rsidP="00B12389">
      <w:pPr>
        <w:numPr>
          <w:ilvl w:val="1"/>
          <w:numId w:val="1"/>
        </w:numPr>
        <w:ind w:hanging="367"/>
      </w:pPr>
      <w:r>
        <w:t xml:space="preserve">The grants </w:t>
      </w:r>
      <w:r w:rsidR="00B12389">
        <w:t xml:space="preserve">and the vesting schedule </w:t>
      </w:r>
      <w:r w:rsidR="007C1D13">
        <w:t xml:space="preserve">as provided in this Agreement </w:t>
      </w:r>
      <w:r>
        <w:t>are not subject to any further consideration by the Recipients including but not limited to</w:t>
      </w:r>
      <w:r w:rsidR="003E428E">
        <w:t xml:space="preserve"> the Recipients</w:t>
      </w:r>
      <w:r>
        <w:t xml:space="preserve"> providing </w:t>
      </w:r>
      <w:r w:rsidR="003E428E">
        <w:t xml:space="preserve">the Company with any </w:t>
      </w:r>
      <w:r>
        <w:t>goods, services</w:t>
      </w:r>
      <w:r w:rsidR="003E428E">
        <w:t>,</w:t>
      </w:r>
      <w:r>
        <w:t xml:space="preserve"> or capital contributions.</w:t>
      </w:r>
    </w:p>
    <w:p w14:paraId="05743D28" w14:textId="77777777" w:rsidR="0009773D" w:rsidRDefault="0009773D" w:rsidP="0009773D">
      <w:pPr>
        <w:numPr>
          <w:ilvl w:val="1"/>
          <w:numId w:val="1"/>
        </w:numPr>
        <w:ind w:hanging="367"/>
      </w:pPr>
      <w:r>
        <w:t>The phantom equity shall not be subject to dilution.</w:t>
      </w:r>
    </w:p>
    <w:p w14:paraId="575AE4D2" w14:textId="77777777" w:rsidR="0009773D" w:rsidRDefault="0009773D" w:rsidP="0009773D">
      <w:pPr>
        <w:numPr>
          <w:ilvl w:val="1"/>
          <w:numId w:val="1"/>
        </w:numPr>
        <w:ind w:hanging="367"/>
      </w:pPr>
      <w:r>
        <w:t>The Company’s Board of Directors shall exercise the same fiduciary duties with respect to the phantom equity as it does with the Company’s common stock.</w:t>
      </w:r>
    </w:p>
    <w:p w14:paraId="10387D09" w14:textId="69B38376" w:rsidR="0009773D" w:rsidRDefault="0009773D" w:rsidP="0009773D">
      <w:pPr>
        <w:numPr>
          <w:ilvl w:val="1"/>
          <w:numId w:val="1"/>
        </w:numPr>
        <w:ind w:hanging="367"/>
      </w:pPr>
      <w:r>
        <w:rPr>
          <w:rFonts w:cstheme="minorHAnsi"/>
        </w:rPr>
        <w:t>The Company’s financial reports shall be issued to the Recipients on a yearly basis.</w:t>
      </w:r>
    </w:p>
    <w:p w14:paraId="0CE0D8D2" w14:textId="77777777" w:rsidR="00F81BB5" w:rsidRDefault="00C61289">
      <w:pPr>
        <w:numPr>
          <w:ilvl w:val="0"/>
          <w:numId w:val="1"/>
        </w:numPr>
        <w:ind w:hanging="244"/>
      </w:pPr>
      <w:r>
        <w:t xml:space="preserve">Performance-Based Incentives </w:t>
      </w:r>
    </w:p>
    <w:p w14:paraId="28EAAF61" w14:textId="3853D255" w:rsidR="00F81BB5" w:rsidRDefault="00C61289">
      <w:pPr>
        <w:numPr>
          <w:ilvl w:val="1"/>
          <w:numId w:val="1"/>
        </w:numPr>
        <w:ind w:hanging="367"/>
      </w:pPr>
      <w:r>
        <w:t xml:space="preserve">Additional phantom equity shall be granted </w:t>
      </w:r>
      <w:r w:rsidR="00D20446">
        <w:t>to each Recipient</w:t>
      </w:r>
      <w:r w:rsidR="00A044EE">
        <w:t xml:space="preserve"> </w:t>
      </w:r>
      <w:r>
        <w:t xml:space="preserve">based on </w:t>
      </w:r>
      <w:r w:rsidR="009638F3">
        <w:t>the C</w:t>
      </w:r>
      <w:r>
        <w:t>ompany</w:t>
      </w:r>
      <w:r w:rsidR="0098027C">
        <w:t xml:space="preserve"> achieving the following</w:t>
      </w:r>
      <w:r>
        <w:t xml:space="preserve"> performance milestones: </w:t>
      </w:r>
    </w:p>
    <w:p w14:paraId="4E56F3D4" w14:textId="284B4756" w:rsidR="00F81BB5" w:rsidRDefault="00C61289">
      <w:pPr>
        <w:numPr>
          <w:ilvl w:val="2"/>
          <w:numId w:val="1"/>
        </w:numPr>
        <w:ind w:hanging="720"/>
      </w:pPr>
      <w:r>
        <w:lastRenderedPageBreak/>
        <w:t xml:space="preserve">Upon </w:t>
      </w:r>
      <w:r w:rsidR="0048220D">
        <w:t xml:space="preserve">the Company </w:t>
      </w:r>
      <w:r>
        <w:t xml:space="preserve">reaching </w:t>
      </w:r>
      <w:r w:rsidR="00CB15BF">
        <w:t>[</w:t>
      </w:r>
      <w:r w:rsidR="00CB15BF" w:rsidRPr="00EA6CA4">
        <w:rPr>
          <w:highlight w:val="yellow"/>
        </w:rPr>
        <w:t xml:space="preserve">e.g., </w:t>
      </w:r>
      <w:r w:rsidRPr="00EA6CA4">
        <w:rPr>
          <w:highlight w:val="yellow"/>
        </w:rPr>
        <w:t>$5 million</w:t>
      </w:r>
      <w:r w:rsidR="00CB15BF" w:rsidRPr="00EA6CA4">
        <w:rPr>
          <w:highlight w:val="yellow"/>
        </w:rPr>
        <w:t>]</w:t>
      </w:r>
      <w:r>
        <w:t xml:space="preserve"> in </w:t>
      </w:r>
      <w:r w:rsidR="0048220D">
        <w:t xml:space="preserve">gross </w:t>
      </w:r>
      <w:r w:rsidR="00047BD9">
        <w:t xml:space="preserve">yearly </w:t>
      </w:r>
      <w:r>
        <w:t xml:space="preserve">sales, each Recipient shall receive an additional </w:t>
      </w:r>
      <w:r w:rsidR="00EA6CA4">
        <w:t>[</w:t>
      </w:r>
      <w:r w:rsidR="00EA6CA4" w:rsidRPr="00EA6CA4">
        <w:rPr>
          <w:highlight w:val="yellow"/>
        </w:rPr>
        <w:t xml:space="preserve">e.g., </w:t>
      </w:r>
      <w:r w:rsidRPr="00EA6CA4">
        <w:rPr>
          <w:highlight w:val="yellow"/>
        </w:rPr>
        <w:t>1%</w:t>
      </w:r>
      <w:r w:rsidR="00EA6CA4">
        <w:t>]</w:t>
      </w:r>
      <w:r>
        <w:t xml:space="preserve"> phantom equity. </w:t>
      </w:r>
    </w:p>
    <w:p w14:paraId="78D4F2D0" w14:textId="53E00842" w:rsidR="00F81BB5" w:rsidRDefault="00C61289">
      <w:pPr>
        <w:numPr>
          <w:ilvl w:val="2"/>
          <w:numId w:val="1"/>
        </w:numPr>
        <w:ind w:hanging="720"/>
      </w:pPr>
      <w:r>
        <w:t xml:space="preserve">For every additional </w:t>
      </w:r>
      <w:r w:rsidR="00C32295">
        <w:t>[</w:t>
      </w:r>
      <w:r w:rsidR="00C32295" w:rsidRPr="00EA6CA4">
        <w:rPr>
          <w:highlight w:val="yellow"/>
        </w:rPr>
        <w:t xml:space="preserve">e.g., </w:t>
      </w:r>
      <w:r w:rsidRPr="00EA6CA4">
        <w:rPr>
          <w:highlight w:val="yellow"/>
        </w:rPr>
        <w:t>$2.5 million</w:t>
      </w:r>
      <w:r w:rsidR="00C32295">
        <w:t>]</w:t>
      </w:r>
      <w:r>
        <w:t xml:space="preserve"> in</w:t>
      </w:r>
      <w:r w:rsidR="00047BD9">
        <w:t xml:space="preserve"> gross yearly</w:t>
      </w:r>
      <w:r>
        <w:t xml:space="preserve"> sales, each Recipient shall receive an additional </w:t>
      </w:r>
      <w:r w:rsidR="00EA6CA4">
        <w:t>[</w:t>
      </w:r>
      <w:r w:rsidR="00EA6CA4" w:rsidRPr="00EA6CA4">
        <w:rPr>
          <w:highlight w:val="yellow"/>
        </w:rPr>
        <w:t xml:space="preserve">e.g., </w:t>
      </w:r>
      <w:r w:rsidRPr="00EA6CA4">
        <w:rPr>
          <w:highlight w:val="yellow"/>
        </w:rPr>
        <w:t>0.5%</w:t>
      </w:r>
      <w:r w:rsidR="00EA6CA4">
        <w:t>]</w:t>
      </w:r>
      <w:r>
        <w:t xml:space="preserve"> phantom equity. </w:t>
      </w:r>
    </w:p>
    <w:p w14:paraId="1C741DDC" w14:textId="77777777" w:rsidR="00F81BB5" w:rsidRDefault="00C61289">
      <w:pPr>
        <w:numPr>
          <w:ilvl w:val="2"/>
          <w:numId w:val="1"/>
        </w:numPr>
        <w:ind w:hanging="720"/>
      </w:pPr>
      <w:r>
        <w:t xml:space="preserve">Additional phantom equity will be subject to the same vesting and forfeiture provisions as outlined above. </w:t>
      </w:r>
    </w:p>
    <w:p w14:paraId="2DAA43FC" w14:textId="77777777" w:rsidR="00F81BB5" w:rsidRDefault="00C61289">
      <w:pPr>
        <w:numPr>
          <w:ilvl w:val="0"/>
          <w:numId w:val="1"/>
        </w:numPr>
        <w:ind w:hanging="244"/>
      </w:pPr>
      <w:r>
        <w:t xml:space="preserve">Payout Terms </w:t>
      </w:r>
    </w:p>
    <w:p w14:paraId="77FEE3D3" w14:textId="77777777" w:rsidR="00F81BB5" w:rsidRDefault="00C61289">
      <w:pPr>
        <w:numPr>
          <w:ilvl w:val="1"/>
          <w:numId w:val="1"/>
        </w:numPr>
        <w:ind w:hanging="367"/>
      </w:pPr>
      <w:r>
        <w:t xml:space="preserve">Recipients shall receive a cash payout equivalent to the fair market value of vested phantom equity upon the occurrence of a liquidity event, defined as: </w:t>
      </w:r>
    </w:p>
    <w:p w14:paraId="38552122" w14:textId="67C770E1" w:rsidR="00647826" w:rsidRDefault="00C61289">
      <w:pPr>
        <w:numPr>
          <w:ilvl w:val="2"/>
          <w:numId w:val="1"/>
        </w:numPr>
        <w:ind w:hanging="720"/>
      </w:pPr>
      <w:r>
        <w:t xml:space="preserve">A sale of </w:t>
      </w:r>
      <w:r w:rsidR="008C7AB9">
        <w:t>all or su</w:t>
      </w:r>
      <w:r w:rsidR="00647826">
        <w:t xml:space="preserve">bstantially all of </w:t>
      </w:r>
      <w:r>
        <w:t>the Company</w:t>
      </w:r>
      <w:r w:rsidR="008C59A8">
        <w:t xml:space="preserve"> or its assets</w:t>
      </w:r>
      <w:r>
        <w:t xml:space="preserve">, </w:t>
      </w:r>
      <w:r w:rsidR="00647826">
        <w:t>or</w:t>
      </w:r>
    </w:p>
    <w:p w14:paraId="56473CF1" w14:textId="6FF0A1D3" w:rsidR="001638A7" w:rsidRDefault="00791611">
      <w:pPr>
        <w:numPr>
          <w:ilvl w:val="2"/>
          <w:numId w:val="1"/>
        </w:numPr>
        <w:ind w:hanging="720"/>
      </w:pPr>
      <w:r>
        <w:t>The Company ceases its business operation</w:t>
      </w:r>
      <w:r w:rsidR="001638A7">
        <w:t xml:space="preserve">s, </w:t>
      </w:r>
      <w:r>
        <w:t xml:space="preserve">or </w:t>
      </w:r>
    </w:p>
    <w:p w14:paraId="59831BD7" w14:textId="77777777" w:rsidR="00F81BB5" w:rsidRDefault="00C61289">
      <w:pPr>
        <w:numPr>
          <w:ilvl w:val="2"/>
          <w:numId w:val="1"/>
        </w:numPr>
        <w:spacing w:after="14"/>
        <w:ind w:hanging="720"/>
      </w:pPr>
      <w:r>
        <w:t xml:space="preserve">A major profit-sharing payout, as determined by the Company’s Board of </w:t>
      </w:r>
    </w:p>
    <w:p w14:paraId="15CFFC99" w14:textId="77777777" w:rsidR="00F81BB5" w:rsidRDefault="00C61289">
      <w:pPr>
        <w:ind w:left="-5"/>
      </w:pPr>
      <w:r>
        <w:t xml:space="preserve">Directors. </w:t>
      </w:r>
    </w:p>
    <w:p w14:paraId="671A25DD" w14:textId="40ACC762" w:rsidR="00F81BB5" w:rsidRDefault="00C61289">
      <w:pPr>
        <w:numPr>
          <w:ilvl w:val="1"/>
          <w:numId w:val="1"/>
        </w:numPr>
        <w:ind w:hanging="367"/>
      </w:pPr>
      <w:r>
        <w:t xml:space="preserve">The payout amount will be based on the Company’s valuation </w:t>
      </w:r>
      <w:r w:rsidR="00353A33">
        <w:t xml:space="preserve">(using generally accepted accounting principles) </w:t>
      </w:r>
      <w:r>
        <w:t xml:space="preserve">at the time of the liquidity event. </w:t>
      </w:r>
    </w:p>
    <w:p w14:paraId="712B7689" w14:textId="77777777" w:rsidR="00F81BB5" w:rsidRDefault="00C61289">
      <w:pPr>
        <w:numPr>
          <w:ilvl w:val="1"/>
          <w:numId w:val="1"/>
        </w:numPr>
        <w:ind w:hanging="367"/>
      </w:pPr>
      <w:r>
        <w:t xml:space="preserve">Payouts shall be taxed as ordinary income at the time of receipt. </w:t>
      </w:r>
    </w:p>
    <w:p w14:paraId="2FA4D087" w14:textId="38A41E77" w:rsidR="00E500FD" w:rsidRDefault="00040485">
      <w:pPr>
        <w:numPr>
          <w:ilvl w:val="1"/>
          <w:numId w:val="1"/>
        </w:numPr>
        <w:ind w:hanging="367"/>
      </w:pPr>
      <w:r>
        <w:t xml:space="preserve">Payouts to </w:t>
      </w:r>
      <w:r w:rsidR="00C800D3">
        <w:t>Recipients</w:t>
      </w:r>
      <w:r>
        <w:t xml:space="preserve"> shall </w:t>
      </w:r>
      <w:r w:rsidR="003C3AC6">
        <w:t xml:space="preserve">take </w:t>
      </w:r>
      <w:r>
        <w:t>priority over</w:t>
      </w:r>
      <w:r w:rsidR="00677CE7">
        <w:t xml:space="preserve"> </w:t>
      </w:r>
      <w:r w:rsidR="00C75FBE">
        <w:t xml:space="preserve">any other distribution made to other classes of </w:t>
      </w:r>
      <w:r w:rsidR="00677CE7">
        <w:t>equity interests in the Company.</w:t>
      </w:r>
    </w:p>
    <w:p w14:paraId="2B6F4B26" w14:textId="77777777" w:rsidR="00F81BB5" w:rsidRDefault="00C61289">
      <w:pPr>
        <w:numPr>
          <w:ilvl w:val="0"/>
          <w:numId w:val="1"/>
        </w:numPr>
        <w:ind w:hanging="244"/>
      </w:pPr>
      <w:r>
        <w:t xml:space="preserve">Forfeiture &amp; </w:t>
      </w:r>
      <w:proofErr w:type="spellStart"/>
      <w:r>
        <w:t>Clawback</w:t>
      </w:r>
      <w:proofErr w:type="spellEnd"/>
      <w:r>
        <w:t xml:space="preserve"> Provisions </w:t>
      </w:r>
    </w:p>
    <w:p w14:paraId="67A2C180" w14:textId="02B8C9F2" w:rsidR="00F81BB5" w:rsidRDefault="00C61289">
      <w:pPr>
        <w:numPr>
          <w:ilvl w:val="1"/>
          <w:numId w:val="1"/>
        </w:numPr>
        <w:ind w:hanging="367"/>
      </w:pPr>
      <w:r>
        <w:t xml:space="preserve">If a Recipient </w:t>
      </w:r>
      <w:r w:rsidR="00C04110">
        <w:t xml:space="preserve">committed fraud, </w:t>
      </w:r>
      <w:r w:rsidR="00724E3D">
        <w:t>thief</w:t>
      </w:r>
      <w:r w:rsidR="00C04110">
        <w:t xml:space="preserve">, or gross negligence </w:t>
      </w:r>
      <w:r w:rsidR="00724E3D">
        <w:t xml:space="preserve">against the Company, then </w:t>
      </w:r>
      <w:r>
        <w:t xml:space="preserve">all </w:t>
      </w:r>
      <w:r w:rsidR="004D7C25">
        <w:t xml:space="preserve">of such Recipient’s </w:t>
      </w:r>
      <w:r>
        <w:t xml:space="preserve">unvested phantom equity shall be forfeited. </w:t>
      </w:r>
    </w:p>
    <w:p w14:paraId="69E63D64" w14:textId="53549A90" w:rsidR="00F81BB5" w:rsidRDefault="00C61289">
      <w:pPr>
        <w:numPr>
          <w:ilvl w:val="1"/>
          <w:numId w:val="1"/>
        </w:numPr>
        <w:ind w:hanging="367"/>
      </w:pPr>
      <w:r>
        <w:t xml:space="preserve">The Company reserves the right to buy back vested phantom equity at fair market value </w:t>
      </w:r>
      <w:r w:rsidR="00C9120A">
        <w:t xml:space="preserve">(using generally accepted accounting principles) </w:t>
      </w:r>
      <w:r>
        <w:t xml:space="preserve">under certain conditions, including but not limited to misconduct, breach of contract, or material violations of company policies. </w:t>
      </w:r>
    </w:p>
    <w:p w14:paraId="40CE02C4" w14:textId="5421FA7B" w:rsidR="00F81BB5" w:rsidRDefault="00C61289">
      <w:pPr>
        <w:numPr>
          <w:ilvl w:val="0"/>
          <w:numId w:val="1"/>
        </w:numPr>
        <w:ind w:hanging="244"/>
      </w:pPr>
      <w:r>
        <w:t>No Ownership or Voting Rights</w:t>
      </w:r>
    </w:p>
    <w:p w14:paraId="3A4CE016" w14:textId="188C2988" w:rsidR="00F81BB5" w:rsidRDefault="00C61289">
      <w:pPr>
        <w:numPr>
          <w:ilvl w:val="1"/>
          <w:numId w:val="1"/>
        </w:numPr>
        <w:ind w:hanging="367"/>
      </w:pPr>
      <w:r>
        <w:t>This Agreement does not grant any voting rights, ownership interest, or control over Company decisions.</w:t>
      </w:r>
    </w:p>
    <w:p w14:paraId="37014C0D" w14:textId="59E984E8" w:rsidR="00AC399F" w:rsidRDefault="00AC399F" w:rsidP="00EA6CA4">
      <w:pPr>
        <w:numPr>
          <w:ilvl w:val="0"/>
          <w:numId w:val="1"/>
        </w:numPr>
        <w:ind w:hanging="244"/>
      </w:pPr>
      <w:r>
        <w:t xml:space="preserve">Right of First </w:t>
      </w:r>
      <w:r w:rsidR="00157E40">
        <w:t>Refusal</w:t>
      </w:r>
    </w:p>
    <w:p w14:paraId="605A33C1" w14:textId="26EB722A" w:rsidR="000139E5" w:rsidRDefault="00032D04">
      <w:pPr>
        <w:numPr>
          <w:ilvl w:val="1"/>
          <w:numId w:val="1"/>
        </w:numPr>
        <w:ind w:hanging="367"/>
      </w:pPr>
      <w:r>
        <w:lastRenderedPageBreak/>
        <w:t xml:space="preserve">The vested </w:t>
      </w:r>
      <w:r w:rsidR="000E6ECD">
        <w:t xml:space="preserve">phantom equity may be sold, assigned, </w:t>
      </w:r>
      <w:r w:rsidR="008F44E7">
        <w:t>transferred by Recipients without the Company’s prior consent.</w:t>
      </w:r>
    </w:p>
    <w:p w14:paraId="08282ABF" w14:textId="2AD9CB26" w:rsidR="00B1161E" w:rsidRPr="002A64B4" w:rsidRDefault="00396ACE" w:rsidP="00B1161E">
      <w:pPr>
        <w:numPr>
          <w:ilvl w:val="1"/>
          <w:numId w:val="1"/>
        </w:numPr>
        <w:ind w:hanging="367"/>
      </w:pPr>
      <w:r>
        <w:t>Notwithstanding the above, t</w:t>
      </w:r>
      <w:r w:rsidR="00B1161E" w:rsidRPr="00B1161E">
        <w:t xml:space="preserve">his Right of First Refusal ("ROFR") clause is intended to provide the </w:t>
      </w:r>
      <w:r w:rsidR="00B05212">
        <w:t xml:space="preserve">Company </w:t>
      </w:r>
      <w:r>
        <w:t xml:space="preserve">(or its members) </w:t>
      </w:r>
      <w:r w:rsidR="00D07A63">
        <w:t xml:space="preserve">with </w:t>
      </w:r>
      <w:r w:rsidR="00B1161E" w:rsidRPr="00B1161E">
        <w:t xml:space="preserve">the opportunity to purchase any </w:t>
      </w:r>
      <w:r w:rsidR="00B05212">
        <w:t>phantom equity</w:t>
      </w:r>
      <w:r w:rsidR="00B05212" w:rsidRPr="00B1161E">
        <w:t xml:space="preserve"> </w:t>
      </w:r>
      <w:r w:rsidR="00B05212">
        <w:t>i</w:t>
      </w:r>
      <w:r w:rsidR="00B1161E" w:rsidRPr="00B1161E">
        <w:t xml:space="preserve">nterest that a </w:t>
      </w:r>
      <w:r w:rsidR="00B05212">
        <w:t>Recipient</w:t>
      </w:r>
      <w:r w:rsidR="00B1161E" w:rsidRPr="00B1161E">
        <w:t xml:space="preserve"> (the "Selling </w:t>
      </w:r>
      <w:r w:rsidR="000E2AD9">
        <w:t>Recipient</w:t>
      </w:r>
      <w:r w:rsidR="00B1161E" w:rsidRPr="00B1161E">
        <w:t xml:space="preserve">") intends to sell, transfer, or otherwise dispose of before it is sold to an external party. Before selling or transferring any </w:t>
      </w:r>
      <w:r w:rsidR="000E2AD9">
        <w:t>phantom e</w:t>
      </w:r>
      <w:r w:rsidR="00B1161E" w:rsidRPr="00B1161E">
        <w:t xml:space="preserve">quity </w:t>
      </w:r>
      <w:r w:rsidR="000E2AD9">
        <w:t>i</w:t>
      </w:r>
      <w:r w:rsidR="00B1161E" w:rsidRPr="00B1161E">
        <w:t xml:space="preserve">nterest to a third party, the Selling </w:t>
      </w:r>
      <w:r w:rsidR="000E2AD9">
        <w:t>Recipient</w:t>
      </w:r>
      <w:r w:rsidR="00B1161E" w:rsidRPr="00B1161E">
        <w:t xml:space="preserve"> must provide written notice ("Sale Notice") to the </w:t>
      </w:r>
      <w:r w:rsidR="000E2AD9">
        <w:t>Company</w:t>
      </w:r>
      <w:r w:rsidR="00B1161E" w:rsidRPr="00B1161E">
        <w:t>. The Sale Notice shall include:</w:t>
      </w:r>
    </w:p>
    <w:p w14:paraId="07FC95FD" w14:textId="047DD9A7" w:rsidR="00B1161E" w:rsidRPr="00EA6CA4" w:rsidRDefault="00B1161E" w:rsidP="00006E6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EA6CA4">
        <w:rPr>
          <w:rFonts w:ascii="Arial" w:hAnsi="Arial" w:cs="Arial"/>
        </w:rPr>
        <w:t xml:space="preserve">The percentage of </w:t>
      </w:r>
      <w:r w:rsidR="00410E60" w:rsidRPr="00EA6CA4">
        <w:rPr>
          <w:rFonts w:ascii="Arial" w:hAnsi="Arial" w:cs="Arial"/>
        </w:rPr>
        <w:t>phantom e</w:t>
      </w:r>
      <w:r w:rsidRPr="00EA6CA4">
        <w:rPr>
          <w:rFonts w:ascii="Arial" w:hAnsi="Arial" w:cs="Arial"/>
        </w:rPr>
        <w:t xml:space="preserve">quity </w:t>
      </w:r>
      <w:r w:rsidR="00410E60" w:rsidRPr="00EA6CA4">
        <w:rPr>
          <w:rFonts w:ascii="Arial" w:hAnsi="Arial" w:cs="Arial"/>
        </w:rPr>
        <w:t>i</w:t>
      </w:r>
      <w:r w:rsidRPr="00EA6CA4">
        <w:rPr>
          <w:rFonts w:ascii="Arial" w:hAnsi="Arial" w:cs="Arial"/>
        </w:rPr>
        <w:t>nterest to be sold or transferred.</w:t>
      </w:r>
    </w:p>
    <w:p w14:paraId="0012D205" w14:textId="77777777" w:rsidR="00B1161E" w:rsidRPr="00EA6CA4" w:rsidRDefault="00B1161E" w:rsidP="00006E6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EA6CA4">
        <w:rPr>
          <w:rFonts w:ascii="Arial" w:hAnsi="Arial" w:cs="Arial"/>
        </w:rPr>
        <w:t>The proposed terms and conditions of the sale, including the price and identity of the prospective third-party buyer.</w:t>
      </w:r>
    </w:p>
    <w:p w14:paraId="6D0FCBC0" w14:textId="77777777" w:rsidR="00B1161E" w:rsidRPr="00EA6CA4" w:rsidRDefault="00B1161E" w:rsidP="00006E6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EA6CA4">
        <w:rPr>
          <w:rFonts w:ascii="Arial" w:hAnsi="Arial" w:cs="Arial"/>
        </w:rPr>
        <w:t>A copy of any written offer or agreement with the prospective buyer.</w:t>
      </w:r>
    </w:p>
    <w:p w14:paraId="3E7DEFF0" w14:textId="598311CD" w:rsidR="00B1161E" w:rsidRPr="00B1161E" w:rsidRDefault="00B1161E" w:rsidP="00EA6CA4">
      <w:pPr>
        <w:ind w:left="1087" w:firstLine="0"/>
      </w:pPr>
      <w:r w:rsidRPr="00B1161E">
        <w:t xml:space="preserve">The </w:t>
      </w:r>
      <w:r w:rsidR="00410E60">
        <w:t xml:space="preserve">Company (or its members) </w:t>
      </w:r>
      <w:r w:rsidRPr="00B1161E">
        <w:t xml:space="preserve">shall have the first option to purchase the Selling </w:t>
      </w:r>
      <w:r w:rsidR="00410E60">
        <w:t>Recipient</w:t>
      </w:r>
      <w:r w:rsidRPr="00B1161E">
        <w:t xml:space="preserve">’s </w:t>
      </w:r>
      <w:r w:rsidR="00410E60">
        <w:t>i</w:t>
      </w:r>
      <w:r w:rsidRPr="00B1161E">
        <w:t xml:space="preserve">nterest on the same terms and conditions specified in the Sale Notice. If the </w:t>
      </w:r>
      <w:r w:rsidR="00410E60">
        <w:t xml:space="preserve">Company </w:t>
      </w:r>
      <w:r w:rsidRPr="00B1161E">
        <w:t>exercise</w:t>
      </w:r>
      <w:r w:rsidR="00410E60">
        <w:t xml:space="preserve">s its </w:t>
      </w:r>
      <w:r w:rsidRPr="00B1161E">
        <w:t xml:space="preserve">ROFR within five (5) days after receiving the Sale Notice, then Selling </w:t>
      </w:r>
      <w:r w:rsidR="005D3012">
        <w:t>Recipient</w:t>
      </w:r>
      <w:r w:rsidRPr="00B1161E">
        <w:t xml:space="preserve"> may proceed to sell </w:t>
      </w:r>
      <w:r w:rsidR="005D3012">
        <w:t>its i</w:t>
      </w:r>
      <w:r w:rsidRPr="00B1161E">
        <w:t>nterest to the third party on the same terms specified in the Sale Notice.</w:t>
      </w:r>
    </w:p>
    <w:p w14:paraId="323D7F63" w14:textId="77777777" w:rsidR="00F81BB5" w:rsidRDefault="00C61289">
      <w:pPr>
        <w:numPr>
          <w:ilvl w:val="0"/>
          <w:numId w:val="1"/>
        </w:numPr>
        <w:ind w:hanging="244"/>
      </w:pPr>
      <w:r>
        <w:t xml:space="preserve">Miscellaneous </w:t>
      </w:r>
    </w:p>
    <w:p w14:paraId="7C4CD92B" w14:textId="5C776426" w:rsidR="00F81BB5" w:rsidRDefault="00C61289">
      <w:pPr>
        <w:numPr>
          <w:ilvl w:val="1"/>
          <w:numId w:val="1"/>
        </w:numPr>
        <w:ind w:hanging="367"/>
      </w:pPr>
      <w:r>
        <w:t xml:space="preserve">This Agreement shall be governed by the laws of the State of </w:t>
      </w:r>
      <w:r w:rsidR="001B1024">
        <w:t>[</w:t>
      </w:r>
      <w:r w:rsidR="001B1024" w:rsidRPr="00C61289">
        <w:rPr>
          <w:highlight w:val="yellow"/>
        </w:rPr>
        <w:t>insert state</w:t>
      </w:r>
      <w:r w:rsidR="001B1024">
        <w:t>]</w:t>
      </w:r>
      <w:r>
        <w:t xml:space="preserve">. </w:t>
      </w:r>
    </w:p>
    <w:p w14:paraId="2B344F84" w14:textId="797C53D3" w:rsidR="00F81BB5" w:rsidRDefault="00C61289">
      <w:pPr>
        <w:numPr>
          <w:ilvl w:val="1"/>
          <w:numId w:val="1"/>
        </w:numPr>
        <w:ind w:hanging="367"/>
      </w:pPr>
      <w:r>
        <w:t xml:space="preserve">Any disputes arising under this Agreement shall be resolved through binding arbitration in </w:t>
      </w:r>
      <w:r w:rsidR="001B1024">
        <w:t>[</w:t>
      </w:r>
      <w:r w:rsidR="001B1024" w:rsidRPr="00C61289">
        <w:rPr>
          <w:highlight w:val="yellow"/>
        </w:rPr>
        <w:t>insert state</w:t>
      </w:r>
      <w:r w:rsidR="001B1024">
        <w:t xml:space="preserve">], </w:t>
      </w:r>
      <w:r w:rsidR="00A10F09" w:rsidRPr="00DE6C76">
        <w:rPr>
          <w:rFonts w:cstheme="minorHAnsi"/>
        </w:rPr>
        <w:t>under the rules of the American Arbitration Association</w:t>
      </w:r>
      <w:r>
        <w:t xml:space="preserve">. </w:t>
      </w:r>
    </w:p>
    <w:p w14:paraId="10DB4F67" w14:textId="201117E6" w:rsidR="00F81BB5" w:rsidRDefault="00C61289">
      <w:pPr>
        <w:numPr>
          <w:ilvl w:val="1"/>
          <w:numId w:val="1"/>
        </w:numPr>
        <w:ind w:hanging="367"/>
      </w:pPr>
      <w:r>
        <w:t xml:space="preserve">This Agreement constitutes the entire understanding between the parties regarding phantom equity and supersedes any prior discussions. </w:t>
      </w:r>
      <w:r w:rsidR="00867A7F">
        <w:rPr>
          <w:rFonts w:cstheme="minorHAnsi"/>
        </w:rPr>
        <w:t>N</w:t>
      </w:r>
      <w:r w:rsidR="00867A7F" w:rsidRPr="00D906BC">
        <w:rPr>
          <w:rFonts w:cstheme="minorHAnsi"/>
        </w:rPr>
        <w:t xml:space="preserve">o modification of this Agreement shall be valid unless in writing and agreed upon by the </w:t>
      </w:r>
      <w:r w:rsidR="00867A7F">
        <w:rPr>
          <w:rFonts w:cstheme="minorHAnsi"/>
        </w:rPr>
        <w:t>parties</w:t>
      </w:r>
      <w:r w:rsidR="00867A7F" w:rsidRPr="00D906BC">
        <w:rPr>
          <w:rFonts w:cstheme="minorHAnsi"/>
        </w:rPr>
        <w:t>.</w:t>
      </w:r>
    </w:p>
    <w:p w14:paraId="4881CABB" w14:textId="77777777" w:rsidR="00F81BB5" w:rsidRDefault="00C61289">
      <w:pPr>
        <w:ind w:left="-5"/>
      </w:pPr>
      <w:r>
        <w:t xml:space="preserve">SIGNATURES </w:t>
      </w:r>
    </w:p>
    <w:p w14:paraId="364B3722" w14:textId="6F0AD4CE" w:rsidR="00F81BB5" w:rsidRDefault="00653D69">
      <w:pPr>
        <w:ind w:left="-5"/>
      </w:pPr>
      <w:r>
        <w:t>Company</w:t>
      </w:r>
    </w:p>
    <w:p w14:paraId="7E8EECF6" w14:textId="77777777" w:rsidR="00F81BB5" w:rsidRDefault="00C61289">
      <w:pPr>
        <w:ind w:left="-5"/>
      </w:pPr>
      <w:r>
        <w:t xml:space="preserve">By: ________________________ </w:t>
      </w:r>
    </w:p>
    <w:p w14:paraId="4C25A2DC" w14:textId="760E0253" w:rsidR="00F81BB5" w:rsidRDefault="00C61289">
      <w:pPr>
        <w:ind w:left="-5"/>
      </w:pPr>
      <w:r>
        <w:t>Name:</w:t>
      </w:r>
    </w:p>
    <w:p w14:paraId="5AE5B7C0" w14:textId="322BD6E8" w:rsidR="00F81BB5" w:rsidRDefault="00C61289">
      <w:pPr>
        <w:ind w:left="-5"/>
      </w:pPr>
      <w:r>
        <w:t>Title:</w:t>
      </w:r>
    </w:p>
    <w:p w14:paraId="1AADCB30" w14:textId="77777777" w:rsidR="00780B95" w:rsidRDefault="00C61289">
      <w:pPr>
        <w:spacing w:after="0" w:line="504" w:lineRule="auto"/>
        <w:ind w:left="-5" w:right="4851"/>
      </w:pPr>
      <w:r>
        <w:t xml:space="preserve">Date: ________________________ </w:t>
      </w:r>
    </w:p>
    <w:p w14:paraId="39C714D2" w14:textId="7BE4FC3E" w:rsidR="00F81BB5" w:rsidRDefault="00C61289">
      <w:pPr>
        <w:spacing w:after="0" w:line="504" w:lineRule="auto"/>
        <w:ind w:left="-5" w:right="4851"/>
      </w:pPr>
      <w:r>
        <w:t xml:space="preserve">Recipient 1: </w:t>
      </w:r>
    </w:p>
    <w:p w14:paraId="25768E7D" w14:textId="77777777" w:rsidR="00F81BB5" w:rsidRDefault="00C61289">
      <w:pPr>
        <w:ind w:left="-5"/>
      </w:pPr>
      <w:r>
        <w:lastRenderedPageBreak/>
        <w:t xml:space="preserve">By: ________________________ </w:t>
      </w:r>
    </w:p>
    <w:p w14:paraId="045798F1" w14:textId="4E9C21E2" w:rsidR="00F81BB5" w:rsidRDefault="00C61289" w:rsidP="00653D69">
      <w:pPr>
        <w:ind w:left="-5"/>
      </w:pPr>
      <w:r>
        <w:t>Name:</w:t>
      </w:r>
    </w:p>
    <w:p w14:paraId="03A3EE89" w14:textId="77777777" w:rsidR="00780B95" w:rsidRDefault="00C61289">
      <w:pPr>
        <w:spacing w:after="0" w:line="504" w:lineRule="auto"/>
        <w:ind w:left="-5" w:right="4851"/>
      </w:pPr>
      <w:r>
        <w:t xml:space="preserve">Date: ________________________ </w:t>
      </w:r>
    </w:p>
    <w:p w14:paraId="2F92FD90" w14:textId="313CC6D0" w:rsidR="00F81BB5" w:rsidRDefault="00C61289">
      <w:pPr>
        <w:spacing w:after="0" w:line="504" w:lineRule="auto"/>
        <w:ind w:left="-5" w:right="4851"/>
      </w:pPr>
      <w:r>
        <w:t xml:space="preserve">Recipient 2: </w:t>
      </w:r>
    </w:p>
    <w:p w14:paraId="35165701" w14:textId="77777777" w:rsidR="00F81BB5" w:rsidRDefault="00C61289">
      <w:pPr>
        <w:ind w:left="-5"/>
      </w:pPr>
      <w:r>
        <w:t xml:space="preserve">By: ________________________ </w:t>
      </w:r>
    </w:p>
    <w:p w14:paraId="6F42F1B6" w14:textId="68F1B828" w:rsidR="00F81BB5" w:rsidRDefault="00C61289" w:rsidP="00EA6CA4">
      <w:pPr>
        <w:ind w:left="-5"/>
      </w:pPr>
      <w:r>
        <w:t>Name:</w:t>
      </w:r>
    </w:p>
    <w:p w14:paraId="07C077F4" w14:textId="2E7D50A9" w:rsidR="00F81BB5" w:rsidRDefault="00C61289" w:rsidP="00EA6CA4">
      <w:pPr>
        <w:ind w:left="-5"/>
      </w:pPr>
      <w:r>
        <w:t>Date: ________________________</w:t>
      </w:r>
    </w:p>
    <w:sectPr w:rsidR="00F81BB5">
      <w:headerReference w:type="default" r:id="rId7"/>
      <w:pgSz w:w="12240" w:h="15840"/>
      <w:pgMar w:top="1486" w:right="1451" w:bottom="168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22671" w14:textId="77777777" w:rsidR="000E4D4D" w:rsidRDefault="000E4D4D" w:rsidP="000E4D4D">
      <w:pPr>
        <w:spacing w:after="0" w:line="240" w:lineRule="auto"/>
      </w:pPr>
      <w:r>
        <w:separator/>
      </w:r>
    </w:p>
  </w:endnote>
  <w:endnote w:type="continuationSeparator" w:id="0">
    <w:p w14:paraId="532AB4F7" w14:textId="77777777" w:rsidR="000E4D4D" w:rsidRDefault="000E4D4D" w:rsidP="000E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1A778" w14:textId="77777777" w:rsidR="000E4D4D" w:rsidRDefault="000E4D4D" w:rsidP="000E4D4D">
      <w:pPr>
        <w:spacing w:after="0" w:line="240" w:lineRule="auto"/>
      </w:pPr>
      <w:r>
        <w:separator/>
      </w:r>
    </w:p>
  </w:footnote>
  <w:footnote w:type="continuationSeparator" w:id="0">
    <w:p w14:paraId="7B2A579E" w14:textId="77777777" w:rsidR="000E4D4D" w:rsidRDefault="000E4D4D" w:rsidP="000E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8B8C2" w14:textId="77777777" w:rsidR="000E4D4D" w:rsidRDefault="000E4D4D" w:rsidP="000E4D4D">
    <w:pPr>
      <w:ind w:left="-5"/>
      <w:jc w:val="center"/>
    </w:pPr>
    <w:r>
      <w:t>PHANTOM EQUITY AGREEMENT</w:t>
    </w:r>
  </w:p>
  <w:p w14:paraId="15853E6C" w14:textId="77777777" w:rsidR="000E4D4D" w:rsidRDefault="000E4D4D" w:rsidP="000E4D4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5C3E"/>
    <w:multiLevelType w:val="hybridMultilevel"/>
    <w:tmpl w:val="C6D8EA20"/>
    <w:lvl w:ilvl="0" w:tplc="9C0C1F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1172A"/>
    <w:multiLevelType w:val="multilevel"/>
    <w:tmpl w:val="63AA10B6"/>
    <w:lvl w:ilvl="0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0602A6"/>
    <w:multiLevelType w:val="multilevel"/>
    <w:tmpl w:val="7A0807AE"/>
    <w:lvl w:ilvl="0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7204645">
    <w:abstractNumId w:val="2"/>
  </w:num>
  <w:num w:numId="2" w16cid:durableId="2054960836">
    <w:abstractNumId w:val="0"/>
  </w:num>
  <w:num w:numId="3" w16cid:durableId="1440418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B5"/>
    <w:rsid w:val="00006E63"/>
    <w:rsid w:val="000139E5"/>
    <w:rsid w:val="00024FB8"/>
    <w:rsid w:val="00032D04"/>
    <w:rsid w:val="00040485"/>
    <w:rsid w:val="00047BD9"/>
    <w:rsid w:val="0009773D"/>
    <w:rsid w:val="000E2AD9"/>
    <w:rsid w:val="000E4D4D"/>
    <w:rsid w:val="000E6ECD"/>
    <w:rsid w:val="00157E40"/>
    <w:rsid w:val="001638A7"/>
    <w:rsid w:val="001B1024"/>
    <w:rsid w:val="00203E2D"/>
    <w:rsid w:val="0028543D"/>
    <w:rsid w:val="002A64B4"/>
    <w:rsid w:val="00353A33"/>
    <w:rsid w:val="00367A24"/>
    <w:rsid w:val="00396ACE"/>
    <w:rsid w:val="003C3AC6"/>
    <w:rsid w:val="003E428E"/>
    <w:rsid w:val="00402FFA"/>
    <w:rsid w:val="00410E60"/>
    <w:rsid w:val="004259C1"/>
    <w:rsid w:val="0048220D"/>
    <w:rsid w:val="00484384"/>
    <w:rsid w:val="004874E9"/>
    <w:rsid w:val="004D7C25"/>
    <w:rsid w:val="00511322"/>
    <w:rsid w:val="005A3B32"/>
    <w:rsid w:val="005D3012"/>
    <w:rsid w:val="0062625D"/>
    <w:rsid w:val="00647826"/>
    <w:rsid w:val="00653D69"/>
    <w:rsid w:val="0065593E"/>
    <w:rsid w:val="00676D9D"/>
    <w:rsid w:val="0067777F"/>
    <w:rsid w:val="00677CE7"/>
    <w:rsid w:val="006C04D0"/>
    <w:rsid w:val="006F75EE"/>
    <w:rsid w:val="0072066B"/>
    <w:rsid w:val="00724E3D"/>
    <w:rsid w:val="00731E7C"/>
    <w:rsid w:val="0073367E"/>
    <w:rsid w:val="00780B95"/>
    <w:rsid w:val="00791611"/>
    <w:rsid w:val="007C1D13"/>
    <w:rsid w:val="007F5065"/>
    <w:rsid w:val="007F6970"/>
    <w:rsid w:val="008365C4"/>
    <w:rsid w:val="00841359"/>
    <w:rsid w:val="00864DC7"/>
    <w:rsid w:val="00867A7F"/>
    <w:rsid w:val="008C59A8"/>
    <w:rsid w:val="008C7AB9"/>
    <w:rsid w:val="008E49FD"/>
    <w:rsid w:val="008F0EE6"/>
    <w:rsid w:val="008F44E7"/>
    <w:rsid w:val="00951536"/>
    <w:rsid w:val="00962512"/>
    <w:rsid w:val="009638F3"/>
    <w:rsid w:val="00966561"/>
    <w:rsid w:val="00976FCC"/>
    <w:rsid w:val="0098027C"/>
    <w:rsid w:val="00995610"/>
    <w:rsid w:val="009975B9"/>
    <w:rsid w:val="00A044EE"/>
    <w:rsid w:val="00A10F09"/>
    <w:rsid w:val="00A40EBD"/>
    <w:rsid w:val="00AB5B1D"/>
    <w:rsid w:val="00AC399F"/>
    <w:rsid w:val="00B03CD4"/>
    <w:rsid w:val="00B05212"/>
    <w:rsid w:val="00B1161E"/>
    <w:rsid w:val="00B12389"/>
    <w:rsid w:val="00B50CDA"/>
    <w:rsid w:val="00BD26B8"/>
    <w:rsid w:val="00C04110"/>
    <w:rsid w:val="00C21598"/>
    <w:rsid w:val="00C32295"/>
    <w:rsid w:val="00C34133"/>
    <w:rsid w:val="00C61289"/>
    <w:rsid w:val="00C75FBE"/>
    <w:rsid w:val="00C800D3"/>
    <w:rsid w:val="00C9120A"/>
    <w:rsid w:val="00CB15BF"/>
    <w:rsid w:val="00CB7273"/>
    <w:rsid w:val="00CF5EBE"/>
    <w:rsid w:val="00D07A63"/>
    <w:rsid w:val="00D170F0"/>
    <w:rsid w:val="00D20446"/>
    <w:rsid w:val="00D52D44"/>
    <w:rsid w:val="00D92BC7"/>
    <w:rsid w:val="00DE5D2D"/>
    <w:rsid w:val="00E17A2A"/>
    <w:rsid w:val="00E4761D"/>
    <w:rsid w:val="00E500FD"/>
    <w:rsid w:val="00E7044F"/>
    <w:rsid w:val="00E71051"/>
    <w:rsid w:val="00E93DDF"/>
    <w:rsid w:val="00EA3CE9"/>
    <w:rsid w:val="00EA6CA4"/>
    <w:rsid w:val="00F23191"/>
    <w:rsid w:val="00F4533F"/>
    <w:rsid w:val="00F527CB"/>
    <w:rsid w:val="00F81BB5"/>
    <w:rsid w:val="00FA5D2D"/>
    <w:rsid w:val="00FB1FA5"/>
    <w:rsid w:val="00F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0D34"/>
  <w15:docId w15:val="{A1D95D08-26FA-4B9C-B176-949E410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5" w:line="271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139E5"/>
    <w:pPr>
      <w:spacing w:after="0" w:line="240" w:lineRule="auto"/>
    </w:pPr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B1161E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4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4D"/>
    <w:rPr>
      <w:rFonts w:ascii="Arial" w:eastAsia="Arial" w:hAnsi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E4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4D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Phantom equity</dc:title>
  <dc:subject/>
  <dc:creator>cope thomas</dc:creator>
  <cp:keywords/>
  <cp:lastModifiedBy>cope thomas</cp:lastModifiedBy>
  <cp:revision>15</cp:revision>
  <dcterms:created xsi:type="dcterms:W3CDTF">2025-08-28T11:32:00Z</dcterms:created>
  <dcterms:modified xsi:type="dcterms:W3CDTF">2025-08-28T11:42:00Z</dcterms:modified>
</cp:coreProperties>
</file>